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0" w:name="Par686"/>
      <w:bookmarkEnd w:id="0"/>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__________________________________________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1" w:name="Par688"/>
      <w:bookmarkEnd w:id="1"/>
      <w:r>
        <w:rPr>
          <w:b/>
          <w:lang w:eastAsia="ru-RU"/>
        </w:rPr>
        <w:t>1.</w:t>
      </w:r>
      <w:r>
        <w:rPr>
          <w:b/>
          <w:lang w:eastAsia="ru-RU"/>
        </w:rPr>
        <w:tab/>
        <w:t>Предмет Контракта</w:t>
      </w:r>
    </w:p>
    <w:p w:rsidR="005A474A" w:rsidRPr="00BC54E0" w:rsidRDefault="005A474A" w:rsidP="005A474A">
      <w:pPr>
        <w:pStyle w:val="a5"/>
        <w:widowControl w:val="0"/>
        <w:numPr>
          <w:ilvl w:val="1"/>
          <w:numId w:val="1"/>
        </w:numPr>
        <w:spacing w:after="0"/>
        <w:ind w:left="0" w:firstLine="709"/>
        <w:rPr>
          <w:color w:val="auto"/>
        </w:rPr>
      </w:pPr>
      <w:r w:rsidRPr="00BC54E0">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условиями настоящего Контракта: </w:t>
      </w:r>
      <w:r w:rsidR="00BC54E0" w:rsidRPr="00BC54E0">
        <w:rPr>
          <w:b/>
        </w:rPr>
        <w:t xml:space="preserve">Автомобиль </w:t>
      </w:r>
      <w:proofErr w:type="spellStart"/>
      <w:r w:rsidR="00BC54E0" w:rsidRPr="00BC54E0">
        <w:rPr>
          <w:b/>
        </w:rPr>
        <w:t>Ford</w:t>
      </w:r>
      <w:proofErr w:type="spellEnd"/>
      <w:r w:rsidR="00BC54E0" w:rsidRPr="00BC54E0">
        <w:rPr>
          <w:b/>
        </w:rPr>
        <w:t xml:space="preserve"> </w:t>
      </w:r>
      <w:proofErr w:type="spellStart"/>
      <w:r w:rsidR="00BC54E0" w:rsidRPr="00BC54E0">
        <w:rPr>
          <w:b/>
        </w:rPr>
        <w:t>Transit</w:t>
      </w:r>
      <w:proofErr w:type="spellEnd"/>
      <w:r w:rsidR="00BC54E0" w:rsidRPr="00BC54E0">
        <w:rPr>
          <w:b/>
        </w:rPr>
        <w:t xml:space="preserve"> для поиска потерь на сетях водоснабжения (1ед.)</w:t>
      </w:r>
      <w:r w:rsidRPr="00BC54E0">
        <w:rPr>
          <w:b/>
          <w:color w:val="auto"/>
        </w:rPr>
        <w:t>,</w:t>
      </w:r>
      <w:r w:rsidRPr="00BC54E0">
        <w:rPr>
          <w:color w:val="auto"/>
        </w:rPr>
        <w:t xml:space="preserve"> далее Товар.</w:t>
      </w:r>
    </w:p>
    <w:p w:rsidR="00365133" w:rsidRPr="00EA76A2" w:rsidRDefault="00EA76A2" w:rsidP="00EA76A2">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365133">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365133">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D4242D">
      <w:pPr>
        <w:pStyle w:val="a5"/>
        <w:widowControl w:val="0"/>
        <w:spacing w:after="0"/>
        <w:ind w:left="0"/>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D4242D">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2" w:name="Par694"/>
      <w:bookmarkEnd w:id="2"/>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w:t>
      </w:r>
      <w:r>
        <w:lastRenderedPageBreak/>
        <w:t xml:space="preserve">порядке и в случаях, 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272874" w:rsidRDefault="00365133" w:rsidP="00B03D55">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w:t>
      </w:r>
      <w:r w:rsidR="004C5A96">
        <w:rPr>
          <w:color w:val="auto"/>
        </w:rPr>
        <w:t>2</w:t>
      </w:r>
      <w:r w:rsidRPr="00272874">
        <w:rPr>
          <w:color w:val="auto"/>
        </w:rPr>
        <w:t xml:space="preserve"> (</w:t>
      </w:r>
      <w:r w:rsidR="004C5A96">
        <w:rPr>
          <w:color w:val="auto"/>
        </w:rPr>
        <w:t>двух</w:t>
      </w:r>
      <w:r w:rsidRPr="00272874">
        <w:rPr>
          <w:color w:val="auto"/>
        </w:rPr>
        <w:t xml:space="preserve">)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44548D" w:rsidRPr="0091462C" w:rsidRDefault="00B03D55" w:rsidP="0044548D">
      <w:pPr>
        <w:pStyle w:val="a5"/>
        <w:widowControl w:val="0"/>
        <w:numPr>
          <w:ilvl w:val="1"/>
          <w:numId w:val="32"/>
        </w:numPr>
        <w:autoSpaceDE w:val="0"/>
        <w:spacing w:after="0"/>
        <w:ind w:left="0" w:firstLine="709"/>
        <w:rPr>
          <w:i/>
          <w:color w:val="FF0000"/>
        </w:rPr>
      </w:pPr>
      <w:r w:rsidRPr="0044548D">
        <w:rPr>
          <w:color w:val="auto"/>
        </w:rPr>
        <w:t>Источник финансирования</w:t>
      </w:r>
      <w:r w:rsidRPr="0044548D">
        <w:rPr>
          <w:b/>
          <w:color w:val="auto"/>
        </w:rPr>
        <w:t xml:space="preserve">: </w:t>
      </w:r>
      <w:r w:rsidR="0044548D" w:rsidRPr="0091462C">
        <w:rPr>
          <w:b/>
          <w:i/>
          <w:color w:val="auto"/>
        </w:rPr>
        <w:t>средства Государственного унитарного предприятия «Вода Крыма».</w:t>
      </w:r>
      <w:r w:rsidR="0044548D" w:rsidRPr="00ED2BA5">
        <w:rPr>
          <w:color w:val="auto"/>
        </w:rPr>
        <w:t xml:space="preserve"> </w:t>
      </w:r>
      <w:r w:rsidR="0044548D" w:rsidRPr="00E90C46">
        <w:t xml:space="preserve">В процессе исполнения Контракта возможно изменение источника финансирования </w:t>
      </w:r>
      <w:r w:rsidR="0044548D">
        <w:t xml:space="preserve">со средств </w:t>
      </w:r>
      <w:r w:rsidR="0044548D" w:rsidRPr="00E90C46">
        <w:t xml:space="preserve">ГУП РК «Вода </w:t>
      </w:r>
      <w:r w:rsidR="0044548D">
        <w:t xml:space="preserve">Крыма» на бюджетные средства Республики Крым </w:t>
      </w:r>
      <w:r w:rsidR="0044548D" w:rsidRPr="00E90C46">
        <w:t>либо смешанное финансирование за счёт вышеназванных источников</w:t>
      </w:r>
      <w:r w:rsidR="0044548D">
        <w:t>.</w:t>
      </w:r>
    </w:p>
    <w:p w:rsidR="00365133" w:rsidRPr="0044548D" w:rsidRDefault="00365133" w:rsidP="00944485">
      <w:pPr>
        <w:pStyle w:val="a5"/>
        <w:widowControl w:val="0"/>
        <w:numPr>
          <w:ilvl w:val="1"/>
          <w:numId w:val="33"/>
        </w:numPr>
        <w:autoSpaceDE w:val="0"/>
        <w:spacing w:after="0"/>
        <w:ind w:left="0" w:firstLine="709"/>
        <w:rPr>
          <w:color w:val="auto"/>
        </w:rPr>
      </w:pPr>
      <w:r w:rsidRPr="0044548D">
        <w:rPr>
          <w:color w:val="auto"/>
        </w:rPr>
        <w:t xml:space="preserve">В случае изменения реквизитов </w:t>
      </w:r>
      <w:r w:rsidR="00C619B3" w:rsidRPr="0044548D">
        <w:rPr>
          <w:color w:val="auto"/>
        </w:rPr>
        <w:t>расчётного</w:t>
      </w:r>
      <w:r w:rsidRPr="0044548D">
        <w:rPr>
          <w:color w:val="auto"/>
        </w:rPr>
        <w:t xml:space="preserve"> счета Поставщик обязан незамедлительно в письменной форме сообщить об этом </w:t>
      </w:r>
      <w:r w:rsidRPr="0044548D">
        <w:rPr>
          <w:b/>
          <w:color w:val="auto"/>
        </w:rPr>
        <w:t>Заказчику</w:t>
      </w:r>
      <w:r w:rsidRPr="0044548D">
        <w:rPr>
          <w:color w:val="auto"/>
        </w:rPr>
        <w:t xml:space="preserve"> с указанием новых реквизитов </w:t>
      </w:r>
      <w:r w:rsidR="00C619B3" w:rsidRPr="0044548D">
        <w:rPr>
          <w:color w:val="auto"/>
        </w:rPr>
        <w:t>расчётного</w:t>
      </w:r>
      <w:r w:rsidRPr="0044548D">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44548D">
        <w:rPr>
          <w:color w:val="auto"/>
        </w:rPr>
        <w:t>расчётный</w:t>
      </w:r>
      <w:r w:rsidRPr="0044548D">
        <w:rPr>
          <w:color w:val="auto"/>
        </w:rPr>
        <w:t xml:space="preserve"> </w:t>
      </w:r>
      <w:r w:rsidR="00C619B3" w:rsidRPr="0044548D">
        <w:rPr>
          <w:color w:val="auto"/>
        </w:rPr>
        <w:t>счёт</w:t>
      </w:r>
      <w:r w:rsidRPr="0044548D">
        <w:rPr>
          <w:color w:val="auto"/>
        </w:rPr>
        <w:t xml:space="preserve"> Поставщика, </w:t>
      </w:r>
      <w:r w:rsidR="00C619B3" w:rsidRPr="0044548D">
        <w:rPr>
          <w:color w:val="auto"/>
        </w:rPr>
        <w:t>несёт</w:t>
      </w:r>
      <w:r w:rsidRPr="0044548D">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3" w:name="Par697"/>
      <w:bookmarkStart w:id="4" w:name="Par699"/>
      <w:bookmarkEnd w:id="3"/>
      <w:bookmarkEnd w:id="4"/>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653947" w:rsidRDefault="00365133" w:rsidP="00653947">
      <w:pPr>
        <w:pStyle w:val="a5"/>
        <w:numPr>
          <w:ilvl w:val="1"/>
          <w:numId w:val="6"/>
        </w:numPr>
        <w:tabs>
          <w:tab w:val="left" w:pos="0"/>
        </w:tabs>
        <w:spacing w:after="0"/>
        <w:ind w:left="0" w:firstLine="709"/>
        <w:rPr>
          <w:i/>
          <w:color w:val="FF0000"/>
        </w:rPr>
      </w:pPr>
      <w:r>
        <w:rPr>
          <w:color w:val="auto"/>
        </w:rPr>
        <w:t xml:space="preserve"> </w:t>
      </w:r>
      <w:r w:rsidR="00653947" w:rsidRPr="00E36D20">
        <w:t>Поставка Товара осу</w:t>
      </w:r>
      <w:r w:rsidR="006B724F">
        <w:t xml:space="preserve">ществляется силами и за </w:t>
      </w:r>
      <w:r w:rsidR="00C619B3">
        <w:t>счёт</w:t>
      </w:r>
      <w:r w:rsidR="006B724F">
        <w:t xml:space="preserve"> Поста</w:t>
      </w:r>
      <w:r w:rsidR="006F7B24">
        <w:t xml:space="preserve">вщика </w:t>
      </w:r>
      <w:r w:rsidR="004C5A96">
        <w:t>до 28.12.2020г</w:t>
      </w:r>
      <w:bookmarkStart w:id="5" w:name="_GoBack"/>
      <w:bookmarkEnd w:id="5"/>
      <w:r w:rsidR="006B724F">
        <w:t>.</w:t>
      </w:r>
    </w:p>
    <w:p w:rsidR="00365133" w:rsidRDefault="00365133" w:rsidP="00365133">
      <w:pPr>
        <w:pStyle w:val="a5"/>
        <w:widowControl w:val="0"/>
        <w:numPr>
          <w:ilvl w:val="1"/>
          <w:numId w:val="6"/>
        </w:numPr>
        <w:tabs>
          <w:tab w:val="left" w:pos="0"/>
        </w:tabs>
        <w:ind w:left="0" w:firstLine="709"/>
      </w:pPr>
      <w:r>
        <w:t>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w:t>
      </w:r>
      <w:r>
        <w:lastRenderedPageBreak/>
        <w:t xml:space="preserve">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58149A" w:rsidRDefault="0058149A" w:rsidP="00181B44">
      <w:pPr>
        <w:pStyle w:val="a5"/>
        <w:numPr>
          <w:ilvl w:val="0"/>
          <w:numId w:val="7"/>
        </w:numPr>
        <w:tabs>
          <w:tab w:val="left" w:pos="0"/>
        </w:tabs>
        <w:spacing w:after="0"/>
        <w:ind w:left="0" w:firstLine="709"/>
        <w:rPr>
          <w:color w:val="auto"/>
        </w:rPr>
      </w:pPr>
      <w:r>
        <w:rPr>
          <w:color w:val="auto"/>
        </w:rPr>
        <w:t>одобрение типа транспортного средства;</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w:t>
      </w:r>
      <w:r w:rsidR="00BC54E0">
        <w:rPr>
          <w:b/>
          <w:bCs/>
          <w:i/>
          <w:color w:val="FF0000"/>
        </w:rPr>
        <w:t>а и Федеральным законом № 44-ФЗ.</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lastRenderedPageBreak/>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w:t>
      </w:r>
      <w:r>
        <w:rPr>
          <w:rFonts w:ascii="Times New Roman" w:hAnsi="Times New Roman"/>
          <w:color w:val="auto"/>
          <w:szCs w:val="24"/>
        </w:rPr>
        <w:lastRenderedPageBreak/>
        <w:t>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6" w:name="Par756"/>
      <w:bookmarkStart w:id="7" w:name="Par758"/>
      <w:bookmarkEnd w:id="6"/>
      <w:bookmarkEnd w:id="7"/>
      <w:r>
        <w:rPr>
          <w:color w:val="auto"/>
          <w:lang w:eastAsia="ru-RU"/>
        </w:rPr>
        <w:t>исполнять иные обязательства, предусмотренные законодательством Российской Федерации и Контрактом.</w:t>
      </w:r>
    </w:p>
    <w:p w:rsidR="00C77B7F" w:rsidRPr="00C77B7F" w:rsidRDefault="00C77B7F" w:rsidP="00C77B7F">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Поставщик (подрядчик, исполнитель) обязан зарегистрировать в территориальных налоговых органах по республике Крым обособленное структурное подразделение в течении 30 календарных дней с даты заключения Контракта. После регистрации обособленного структурного подразделения в территориальных налоговых органах по Республике Крым Поставщик (подрядчик, исполнитель) в течение 3 (</w:t>
      </w:r>
      <w:r w:rsidR="00BC54E0">
        <w:rPr>
          <w:color w:val="auto"/>
          <w:lang w:eastAsia="ru-RU"/>
        </w:rPr>
        <w:t>трёх</w:t>
      </w:r>
      <w:r>
        <w:rPr>
          <w:color w:val="auto"/>
          <w:lang w:eastAsia="ru-RU"/>
        </w:rPr>
        <w:t xml:space="preserve">) рабочих дней представляет Заказчику уведомление о постановке на </w:t>
      </w:r>
      <w:r w:rsidR="00BC54E0">
        <w:rPr>
          <w:color w:val="auto"/>
          <w:lang w:eastAsia="ru-RU"/>
        </w:rPr>
        <w:t>учёт</w:t>
      </w:r>
      <w:r>
        <w:rPr>
          <w:color w:val="auto"/>
          <w:lang w:eastAsia="ru-RU"/>
        </w:rPr>
        <w:t xml:space="preserve"> по месту нахождения обособленного подразделения.</w:t>
      </w:r>
    </w:p>
    <w:p w:rsidR="00365133" w:rsidRDefault="00365133" w:rsidP="00365133">
      <w:pPr>
        <w:pStyle w:val="a5"/>
        <w:tabs>
          <w:tab w:val="left" w:pos="720"/>
          <w:tab w:val="left" w:pos="1276"/>
          <w:tab w:val="left" w:pos="1701"/>
        </w:tabs>
        <w:ind w:left="0" w:firstLine="709"/>
        <w:jc w:val="center"/>
        <w:rPr>
          <w:color w:val="auto"/>
        </w:rPr>
      </w:pPr>
      <w:bookmarkStart w:id="8" w:name="Par692"/>
      <w:bookmarkEnd w:id="8"/>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тракта составляет ____________% </w:t>
      </w:r>
      <w:r w:rsidRPr="009C76A2">
        <w:t xml:space="preserve">(__________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w:t>
      </w:r>
      <w:r w:rsidRPr="00E7779F">
        <w:lastRenderedPageBreak/>
        <w:t>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w:t>
      </w:r>
      <w:r>
        <w:rPr>
          <w:bCs/>
          <w:color w:val="auto"/>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lastRenderedPageBreak/>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Уполномоченный представитель Поставщика вправе присутствовать при приемке-передаче Товара.</w:t>
      </w:r>
    </w:p>
    <w:p w:rsidR="00365133" w:rsidRDefault="00365133" w:rsidP="00365133">
      <w:pPr>
        <w:pStyle w:val="a5"/>
        <w:numPr>
          <w:ilvl w:val="1"/>
          <w:numId w:val="12"/>
        </w:numPr>
        <w:tabs>
          <w:tab w:val="left" w:pos="1112"/>
        </w:tabs>
        <w:ind w:left="0" w:firstLine="709"/>
        <w:rPr>
          <w:color w:val="auto"/>
        </w:rPr>
      </w:pPr>
      <w:r>
        <w:rPr>
          <w:color w:val="auto"/>
        </w:rPr>
        <w:t>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lastRenderedPageBreak/>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lastRenderedPageBreak/>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C619B3">
        <w:rPr>
          <w:b/>
          <w:i/>
          <w:color w:val="FF0000"/>
          <w:highlight w:val="yellow"/>
        </w:rPr>
        <w:t>5</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w:t>
      </w:r>
      <w:r w:rsidRPr="00BA4532">
        <w:rPr>
          <w:i/>
          <w:color w:val="FF0000"/>
        </w:rPr>
        <w:lastRenderedPageBreak/>
        <w:t>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t>8.</w:t>
      </w:r>
      <w:r>
        <w:rPr>
          <w:b/>
        </w:rPr>
        <w:tab/>
        <w:t>Гарантии</w:t>
      </w:r>
    </w:p>
    <w:p w:rsidR="005A474A" w:rsidRPr="00C21589" w:rsidRDefault="005A474A" w:rsidP="005A474A">
      <w:pPr>
        <w:pStyle w:val="a5"/>
        <w:numPr>
          <w:ilvl w:val="1"/>
          <w:numId w:val="15"/>
        </w:numPr>
        <w:autoSpaceDE w:val="0"/>
        <w:autoSpaceDN w:val="0"/>
        <w:adjustRightInd w:val="0"/>
        <w:spacing w:after="0"/>
        <w:ind w:left="0" w:firstLine="709"/>
        <w:rPr>
          <w:color w:val="auto"/>
        </w:rPr>
      </w:pPr>
      <w:r w:rsidRPr="00C21589">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rsidRPr="00C21589">
        <w:t>Российской Федерации</w:t>
      </w:r>
      <w:r w:rsidRPr="00C21589">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C21589">
        <w:rPr>
          <w:color w:val="auto"/>
        </w:rPr>
        <w:t>»</w:t>
      </w:r>
      <w:proofErr w:type="gramEnd"/>
      <w:r w:rsidRPr="00C21589">
        <w:rPr>
          <w:color w:val="auto"/>
        </w:rPr>
        <w:t>).</w:t>
      </w:r>
    </w:p>
    <w:p w:rsidR="005A474A" w:rsidRPr="00C21589" w:rsidRDefault="005A474A" w:rsidP="005A474A">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5A474A" w:rsidRPr="00C21589" w:rsidRDefault="005A474A" w:rsidP="005A474A">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A31523" w:rsidRDefault="00A31523" w:rsidP="00A31523">
      <w:pPr>
        <w:ind w:firstLine="708"/>
        <w:jc w:val="both"/>
        <w:rPr>
          <w:rFonts w:eastAsia="Liberation Serif"/>
          <w:lang w:eastAsia="ar-SA"/>
        </w:rPr>
      </w:pPr>
      <w:bookmarkStart w:id="12" w:name="Par773"/>
      <w:bookmarkEnd w:id="12"/>
      <w:r>
        <w:t xml:space="preserve">8.4 </w:t>
      </w:r>
      <w:r w:rsidR="005A474A" w:rsidRPr="00C21589">
        <w:t xml:space="preserve">Гарантийный срок на </w:t>
      </w:r>
      <w:r w:rsidRPr="00C21589">
        <w:t xml:space="preserve">автомобили </w:t>
      </w:r>
      <w:r>
        <w:rPr>
          <w:rFonts w:eastAsia="Liberation Serif"/>
        </w:rPr>
        <w:t xml:space="preserve">составляет не менее 24 (двадцать четыре) месяцев без ограничения по пробегу </w:t>
      </w:r>
      <w:r>
        <w:rPr>
          <w:rFonts w:eastAsia="Liberation Serif"/>
          <w:sz w:val="22"/>
          <w:szCs w:val="22"/>
        </w:rPr>
        <w:t>и не менее 24 (двадцать четыре) месяцев на установленное оборудование без ограничений по пробегу и наработке.</w:t>
      </w:r>
    </w:p>
    <w:p w:rsidR="00365133" w:rsidRPr="00A31523" w:rsidRDefault="00365133" w:rsidP="00A31523">
      <w:pPr>
        <w:pStyle w:val="a5"/>
        <w:widowControl w:val="0"/>
        <w:suppressAutoHyphens w:val="0"/>
        <w:spacing w:after="0"/>
        <w:ind w:left="709"/>
        <w:jc w:val="center"/>
        <w:outlineLvl w:val="1"/>
        <w:rPr>
          <w:b/>
          <w:lang w:eastAsia="ru-RU"/>
        </w:rPr>
      </w:pPr>
      <w:r w:rsidRPr="00A31523">
        <w:rPr>
          <w:b/>
          <w:lang w:eastAsia="ru-RU"/>
        </w:rPr>
        <w:t>9.</w:t>
      </w:r>
      <w:r w:rsidRPr="00A31523">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3" w:name="Par805"/>
      <w:bookmarkEnd w:id="13"/>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4" w:name="Par2"/>
      <w:bookmarkEnd w:id="14"/>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lastRenderedPageBreak/>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5" w:name="Par13"/>
      <w:bookmarkEnd w:id="15"/>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6" w:name="Par35"/>
      <w:bookmarkEnd w:id="16"/>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w:t>
      </w:r>
      <w:r w:rsidRPr="007A46E1">
        <w:lastRenderedPageBreak/>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7" w:name="Par36"/>
      <w:bookmarkEnd w:id="17"/>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8" w:name="Par47"/>
      <w:bookmarkEnd w:id="18"/>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19" w:name="dst101717"/>
      <w:bookmarkEnd w:id="19"/>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lastRenderedPageBreak/>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lastRenderedPageBreak/>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0" w:name="Par837"/>
      <w:bookmarkEnd w:id="20"/>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1" w:name="Par855"/>
      <w:bookmarkEnd w:id="21"/>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w:t>
      </w:r>
      <w:r>
        <w:rPr>
          <w:rFonts w:ascii="Times New Roman" w:hAnsi="Times New Roman" w:cs="Times New Roman"/>
          <w:b/>
          <w:i/>
          <w:color w:val="auto"/>
        </w:rPr>
        <w:lastRenderedPageBreak/>
        <w:t xml:space="preserve">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proofErr w:type="gramStart"/>
      <w:r>
        <w:rPr>
          <w:rFonts w:ascii="Times New Roman" w:hAnsi="Times New Roman" w:cs="Times New Roman"/>
          <w:b/>
          <w:i/>
          <w:color w:val="auto"/>
        </w:rPr>
        <w:t>на условиях</w:t>
      </w:r>
      <w:proofErr w:type="gramEnd"/>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2" w:name="Par857"/>
      <w:bookmarkEnd w:id="22"/>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3" w:name="dst100324"/>
      <w:bookmarkEnd w:id="23"/>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lastRenderedPageBreak/>
        <w:t>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4" w:name="_Toc264466516"/>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4"/>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w:t>
      </w:r>
      <w:r>
        <w:lastRenderedPageBreak/>
        <w:t xml:space="preserve">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5" w:name="Par869"/>
      <w:bookmarkEnd w:id="25"/>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proofErr w:type="gramStart"/>
            <w:r>
              <w:rPr>
                <w:rFonts w:eastAsia="Calibri"/>
                <w:color w:val="0D0D0D"/>
                <w:kern w:val="2"/>
                <w:sz w:val="22"/>
                <w:szCs w:val="22"/>
              </w:rPr>
              <w:t>9102057281</w:t>
            </w:r>
            <w:r>
              <w:rPr>
                <w:color w:val="0D0D0D"/>
                <w:sz w:val="22"/>
                <w:szCs w:val="22"/>
              </w:rPr>
              <w:t xml:space="preserve">  </w:t>
            </w:r>
            <w:r>
              <w:rPr>
                <w:sz w:val="22"/>
                <w:szCs w:val="22"/>
              </w:rPr>
              <w:t>КПП</w:t>
            </w:r>
            <w:proofErr w:type="gramEnd"/>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lastRenderedPageBreak/>
              <w:t xml:space="preserve">ОКПО 00000000772458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lastRenderedPageBreak/>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lastRenderedPageBreak/>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lastRenderedPageBreak/>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5A474A">
          <w:pgSz w:w="11906" w:h="16838"/>
          <w:pgMar w:top="624" w:right="707" w:bottom="1134" w:left="1418" w:header="0" w:footer="0" w:gutter="0"/>
          <w:cols w:space="720"/>
          <w:formProt w:val="0"/>
        </w:sectPr>
      </w:pPr>
    </w:p>
    <w:p w:rsidR="00365133" w:rsidRPr="00F95B92" w:rsidRDefault="00C130EB" w:rsidP="00365133">
      <w:pPr>
        <w:tabs>
          <w:tab w:val="left" w:pos="1112"/>
        </w:tabs>
        <w:ind w:left="9781" w:firstLine="425"/>
      </w:pPr>
      <w:r>
        <w:lastRenderedPageBreak/>
        <w:tab/>
      </w:r>
      <w:r w:rsidR="00365133" w:rsidRPr="00F95B92">
        <w:t>Приложение № 1</w:t>
      </w:r>
    </w:p>
    <w:p w:rsidR="00365133" w:rsidRPr="00F95B92" w:rsidRDefault="00C130EB" w:rsidP="00365133">
      <w:pPr>
        <w:tabs>
          <w:tab w:val="left" w:pos="1112"/>
        </w:tabs>
      </w:pPr>
      <w:r>
        <w:tab/>
      </w:r>
      <w:r>
        <w:tab/>
      </w:r>
      <w:r>
        <w:tab/>
      </w:r>
      <w:r>
        <w:tab/>
      </w:r>
      <w:r>
        <w:tab/>
      </w:r>
      <w:r>
        <w:tab/>
      </w:r>
      <w:r>
        <w:tab/>
      </w:r>
      <w:r>
        <w:tab/>
      </w:r>
      <w:r>
        <w:tab/>
      </w:r>
      <w:r>
        <w:tab/>
      </w:r>
      <w:r>
        <w:tab/>
      </w:r>
      <w:r>
        <w:tab/>
      </w:r>
      <w:r>
        <w:tab/>
      </w:r>
      <w:r>
        <w:tab/>
      </w:r>
      <w:r>
        <w:tab/>
      </w:r>
      <w:r w:rsidR="00365133" w:rsidRPr="00F95B92">
        <w:t xml:space="preserve">к Контракту №___________ </w:t>
      </w:r>
    </w:p>
    <w:p w:rsidR="00365133" w:rsidRPr="00F95B92" w:rsidRDefault="00C130EB" w:rsidP="00365133">
      <w:pPr>
        <w:tabs>
          <w:tab w:val="left" w:pos="1112"/>
          <w:tab w:val="left" w:pos="9356"/>
        </w:tabs>
      </w:pPr>
      <w:r>
        <w:tab/>
      </w:r>
      <w:r>
        <w:tab/>
      </w:r>
      <w:r>
        <w:tab/>
      </w:r>
      <w:r>
        <w:tab/>
        <w:t>от «__</w:t>
      </w:r>
      <w:proofErr w:type="gramStart"/>
      <w:r>
        <w:t>_»_</w:t>
      </w:r>
      <w:proofErr w:type="gramEnd"/>
      <w:r>
        <w:t>_____________2020</w:t>
      </w:r>
      <w:r w:rsidR="00365133">
        <w:t xml:space="preserve">  </w:t>
      </w:r>
      <w:r w:rsidR="00365133" w:rsidRPr="00F95B92">
        <w:t>г.</w:t>
      </w:r>
    </w:p>
    <w:p w:rsidR="00365133" w:rsidRPr="00F95B92" w:rsidRDefault="00365133" w:rsidP="00365133">
      <w:pPr>
        <w:tabs>
          <w:tab w:val="left" w:pos="1112"/>
        </w:tabs>
        <w:jc w:val="center"/>
      </w:pPr>
      <w:r w:rsidRPr="00F95B92">
        <w:t>СПЕЦИФИКАЦИЯ</w:t>
      </w:r>
    </w:p>
    <w:p w:rsidR="00365133" w:rsidRDefault="00365133" w:rsidP="00365133">
      <w:pPr>
        <w:tabs>
          <w:tab w:val="left" w:pos="1112"/>
          <w:tab w:val="left" w:pos="12191"/>
        </w:tabs>
        <w:jc w:val="center"/>
      </w:pPr>
      <w:r w:rsidRPr="00F95B92">
        <w:t xml:space="preserve">г. Симферополь                                                                    </w:t>
      </w:r>
      <w:r w:rsidR="002F5B76">
        <w:t xml:space="preserve">      </w:t>
      </w:r>
      <w:proofErr w:type="gramStart"/>
      <w:r w:rsidR="002F5B76">
        <w:t xml:space="preserve">   «</w:t>
      </w:r>
      <w:proofErr w:type="gramEnd"/>
      <w:r w:rsidR="002F5B76">
        <w:t xml:space="preserve"> ____» ____________2020</w:t>
      </w:r>
      <w:r>
        <w:t xml:space="preserve">   </w:t>
      </w:r>
    </w:p>
    <w:p w:rsidR="00365133" w:rsidRPr="00F95B92" w:rsidRDefault="00365133" w:rsidP="00365133">
      <w:pPr>
        <w:tabs>
          <w:tab w:val="left" w:pos="1112"/>
          <w:tab w:val="left" w:pos="12191"/>
        </w:tabs>
        <w:jc w:val="center"/>
      </w:pPr>
      <w:r w:rsidRPr="00F95B92">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365133" w:rsidRPr="00F95B92" w:rsidRDefault="00365133" w:rsidP="00365133">
      <w:pPr>
        <w:tabs>
          <w:tab w:val="left" w:pos="1112"/>
        </w:tabs>
        <w:ind w:left="-525" w:firstLine="567"/>
      </w:pPr>
    </w:p>
    <w:tbl>
      <w:tblPr>
        <w:tblW w:w="0" w:type="auto"/>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802"/>
        <w:gridCol w:w="1701"/>
        <w:gridCol w:w="1702"/>
        <w:gridCol w:w="2692"/>
        <w:gridCol w:w="3117"/>
      </w:tblGrid>
      <w:tr w:rsidR="00365133" w:rsidTr="00365133">
        <w:trPr>
          <w:trHeight w:val="522"/>
        </w:trPr>
        <w:tc>
          <w:tcPr>
            <w:tcW w:w="585"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 п/п</w:t>
            </w:r>
          </w:p>
        </w:tc>
        <w:tc>
          <w:tcPr>
            <w:tcW w:w="48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Наименование и характеристики товара</w:t>
            </w:r>
          </w:p>
        </w:tc>
        <w:tc>
          <w:tcPr>
            <w:tcW w:w="1701"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Ед. изм.</w:t>
            </w:r>
          </w:p>
        </w:tc>
        <w:tc>
          <w:tcPr>
            <w:tcW w:w="17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Кол-во</w:t>
            </w:r>
          </w:p>
        </w:tc>
        <w:tc>
          <w:tcPr>
            <w:tcW w:w="2692" w:type="dxa"/>
            <w:tcBorders>
              <w:top w:val="single" w:sz="2" w:space="0" w:color="000000"/>
              <w:left w:val="single" w:sz="2" w:space="0" w:color="000000"/>
              <w:bottom w:val="nil"/>
              <w:right w:val="nil"/>
            </w:tcBorders>
            <w:hideMark/>
          </w:tcPr>
          <w:p w:rsidR="00365133" w:rsidRDefault="00365133" w:rsidP="00912F42">
            <w:pPr>
              <w:pStyle w:val="a6"/>
              <w:ind w:left="105" w:right="5"/>
              <w:jc w:val="center"/>
            </w:pPr>
            <w:r>
              <w:t>Цена за ед. изм., руб.</w:t>
            </w:r>
          </w:p>
        </w:tc>
        <w:tc>
          <w:tcPr>
            <w:tcW w:w="3117" w:type="dxa"/>
            <w:tcBorders>
              <w:top w:val="single" w:sz="2" w:space="0" w:color="000000"/>
              <w:left w:val="single" w:sz="2" w:space="0" w:color="000000"/>
              <w:bottom w:val="nil"/>
              <w:right w:val="single" w:sz="2" w:space="0" w:color="000000"/>
            </w:tcBorders>
            <w:hideMark/>
          </w:tcPr>
          <w:p w:rsidR="00365133" w:rsidRDefault="00365133" w:rsidP="00912F42">
            <w:pPr>
              <w:pStyle w:val="a6"/>
              <w:ind w:left="105" w:right="5"/>
              <w:jc w:val="center"/>
            </w:pPr>
            <w:r>
              <w:t>Сумма, руб.</w:t>
            </w:r>
          </w:p>
          <w:p w:rsidR="00365133" w:rsidRDefault="00365133" w:rsidP="00912F42">
            <w:pPr>
              <w:pStyle w:val="a6"/>
              <w:jc w:val="center"/>
            </w:pPr>
            <w:r>
              <w:t xml:space="preserve"> </w:t>
            </w:r>
          </w:p>
        </w:tc>
      </w:tr>
      <w:tr w:rsidR="00365133" w:rsidTr="00365133">
        <w:tc>
          <w:tcPr>
            <w:tcW w:w="585" w:type="dxa"/>
            <w:tcBorders>
              <w:top w:val="nil"/>
              <w:left w:val="single" w:sz="2" w:space="0" w:color="000000"/>
              <w:bottom w:val="single" w:sz="2" w:space="0" w:color="000000"/>
              <w:right w:val="nil"/>
            </w:tcBorders>
          </w:tcPr>
          <w:p w:rsidR="00365133" w:rsidRDefault="00365133" w:rsidP="00912F42">
            <w:pPr>
              <w:pStyle w:val="a6"/>
              <w:snapToGrid w:val="0"/>
              <w:jc w:val="center"/>
              <w:rPr>
                <w:rStyle w:val="FontStyle"/>
              </w:rPr>
            </w:pPr>
          </w:p>
        </w:tc>
        <w:tc>
          <w:tcPr>
            <w:tcW w:w="4802" w:type="dxa"/>
            <w:tcBorders>
              <w:top w:val="nil"/>
              <w:left w:val="single" w:sz="2" w:space="0" w:color="000000"/>
              <w:bottom w:val="single" w:sz="2" w:space="0" w:color="000000"/>
              <w:right w:val="nil"/>
            </w:tcBorders>
          </w:tcPr>
          <w:p w:rsidR="00365133" w:rsidRDefault="00365133" w:rsidP="00912F42">
            <w:pPr>
              <w:pStyle w:val="a6"/>
              <w:tabs>
                <w:tab w:val="left" w:pos="840"/>
              </w:tabs>
              <w:snapToGrid w:val="0"/>
              <w:ind w:right="-2"/>
              <w:jc w:val="center"/>
            </w:pPr>
          </w:p>
        </w:tc>
        <w:tc>
          <w:tcPr>
            <w:tcW w:w="1701" w:type="dxa"/>
            <w:tcBorders>
              <w:top w:val="nil"/>
              <w:left w:val="single" w:sz="2" w:space="0" w:color="000000"/>
              <w:bottom w:val="single" w:sz="2" w:space="0" w:color="000000"/>
              <w:right w:val="nil"/>
            </w:tcBorders>
          </w:tcPr>
          <w:p w:rsidR="00365133" w:rsidRDefault="00365133" w:rsidP="00912F42">
            <w:pPr>
              <w:pStyle w:val="a6"/>
              <w:snapToGrid w:val="0"/>
              <w:jc w:val="center"/>
            </w:pPr>
          </w:p>
        </w:tc>
        <w:tc>
          <w:tcPr>
            <w:tcW w:w="1702" w:type="dxa"/>
            <w:tcBorders>
              <w:top w:val="nil"/>
              <w:left w:val="single" w:sz="2" w:space="0" w:color="000000"/>
              <w:bottom w:val="single" w:sz="2" w:space="0" w:color="000000"/>
              <w:right w:val="single" w:sz="2" w:space="0" w:color="000000"/>
            </w:tcBorders>
          </w:tcPr>
          <w:p w:rsidR="00365133" w:rsidRDefault="00365133" w:rsidP="00912F42">
            <w:pPr>
              <w:pStyle w:val="a6"/>
              <w:snapToGrid w:val="0"/>
              <w:ind w:left="-2" w:right="-2"/>
              <w:jc w:val="center"/>
            </w:pPr>
          </w:p>
        </w:tc>
        <w:tc>
          <w:tcPr>
            <w:tcW w:w="2692"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c>
          <w:tcPr>
            <w:tcW w:w="3117"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rPr>
                <w:lang w:val="en-US"/>
              </w:rPr>
            </w:pPr>
            <w:r>
              <w:t>Итого:</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center"/>
              <w:rPr>
                <w:lang w:val="en-US"/>
              </w:rP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pPr>
            <w:r>
              <w:t>В т. ч. НДС _____%</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both"/>
            </w:pPr>
          </w:p>
        </w:tc>
      </w:tr>
    </w:tbl>
    <w:p w:rsidR="00365133" w:rsidRPr="00F95B92" w:rsidRDefault="00365133" w:rsidP="00365133">
      <w:pPr>
        <w:tabs>
          <w:tab w:val="left" w:pos="1112"/>
        </w:tabs>
        <w:ind w:firstLine="567"/>
      </w:pPr>
    </w:p>
    <w:p w:rsidR="00365133" w:rsidRPr="00F95B92" w:rsidRDefault="00365133" w:rsidP="00365133">
      <w:pPr>
        <w:tabs>
          <w:tab w:val="left" w:pos="1112"/>
        </w:tabs>
        <w:ind w:firstLine="567"/>
      </w:pPr>
      <w:r w:rsidRPr="00F95B92">
        <w:t>2. Настоящая Спецификация вступает в силу с момента подписания и является неотъемлемой час</w:t>
      </w:r>
      <w:r>
        <w:t>тью Контракта поставки товара № </w:t>
      </w:r>
      <w:r w:rsidRPr="00F95B92">
        <w:t>____</w:t>
      </w:r>
      <w:r w:rsidR="00C130EB">
        <w:t>_______ от «___» ___________ 2020</w:t>
      </w:r>
      <w:r w:rsidRPr="00F95B92">
        <w:t>__ г.</w:t>
      </w:r>
    </w:p>
    <w:p w:rsidR="00365133" w:rsidRPr="00E918C3" w:rsidRDefault="00365133" w:rsidP="00365133">
      <w:pPr>
        <w:tabs>
          <w:tab w:val="left" w:pos="1112"/>
        </w:tabs>
        <w:ind w:firstLine="567"/>
        <w:rPr>
          <w:sz w:val="12"/>
          <w:szCs w:val="12"/>
        </w:rPr>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365133" w:rsidRDefault="00365133" w:rsidP="00365133">
      <w:pPr>
        <w:tabs>
          <w:tab w:val="left" w:pos="1112"/>
        </w:tabs>
        <w:ind w:left="10773"/>
      </w:pPr>
    </w:p>
    <w:p w:rsidR="00365133" w:rsidRPr="00F95B92" w:rsidRDefault="00365133" w:rsidP="00365133">
      <w:pPr>
        <w:suppressAutoHyphens w:val="0"/>
        <w:jc w:val="center"/>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365133" w:rsidRDefault="00365133" w:rsidP="00365133">
      <w:pPr>
        <w:tabs>
          <w:tab w:val="left" w:pos="6096"/>
        </w:tabs>
        <w:suppressAutoHyphens w:val="0"/>
      </w:pPr>
    </w:p>
    <w:p w:rsidR="00365133" w:rsidRDefault="00365133" w:rsidP="00365133">
      <w:pPr>
        <w:tabs>
          <w:tab w:val="left" w:pos="6096"/>
        </w:tabs>
        <w:suppressAutoHyphens w:val="0"/>
      </w:pPr>
    </w:p>
    <w:p w:rsidR="00365133" w:rsidRDefault="00365133" w:rsidP="00365133">
      <w:pPr>
        <w:tabs>
          <w:tab w:val="left" w:pos="6096"/>
        </w:tabs>
        <w:suppressAutoHyphens w:val="0"/>
      </w:pPr>
    </w:p>
    <w:p w:rsidR="00365133" w:rsidRDefault="00365133" w:rsidP="00365133">
      <w:pPr>
        <w:tabs>
          <w:tab w:val="left" w:pos="6096"/>
        </w:tabs>
        <w:suppressAutoHyphens w:val="0"/>
      </w:pPr>
    </w:p>
    <w:tbl>
      <w:tblPr>
        <w:tblpPr w:leftFromText="180" w:rightFromText="180" w:vertAnchor="page" w:horzAnchor="page" w:tblpX="16597" w:tblpY="10066"/>
        <w:tblW w:w="253" w:type="dxa"/>
        <w:tblLook w:val="04A0" w:firstRow="1" w:lastRow="0" w:firstColumn="1" w:lastColumn="0" w:noHBand="0" w:noVBand="1"/>
      </w:tblPr>
      <w:tblGrid>
        <w:gridCol w:w="253"/>
      </w:tblGrid>
      <w:tr w:rsidR="000608E5" w:rsidRPr="00FD206B" w:rsidTr="000608E5">
        <w:trPr>
          <w:trHeight w:val="241"/>
        </w:trPr>
        <w:tc>
          <w:tcPr>
            <w:tcW w:w="253" w:type="dxa"/>
            <w:shd w:val="clear" w:color="auto" w:fill="auto"/>
          </w:tcPr>
          <w:p w:rsidR="000608E5" w:rsidRPr="00FD206B" w:rsidRDefault="000608E5" w:rsidP="000608E5">
            <w:pPr>
              <w:rPr>
                <w:sz w:val="28"/>
                <w:szCs w:val="28"/>
              </w:rPr>
            </w:pPr>
          </w:p>
        </w:tc>
      </w:tr>
    </w:tbl>
    <w:tbl>
      <w:tblPr>
        <w:tblpPr w:leftFromText="180" w:rightFromText="180" w:vertAnchor="text" w:horzAnchor="margin" w:tblpXSpec="center" w:tblpY="3966"/>
        <w:tblW w:w="9497" w:type="dxa"/>
        <w:tblLayout w:type="fixed"/>
        <w:tblLook w:val="04A0" w:firstRow="1" w:lastRow="0" w:firstColumn="1" w:lastColumn="0" w:noHBand="0" w:noVBand="1"/>
      </w:tblPr>
      <w:tblGrid>
        <w:gridCol w:w="4819"/>
        <w:gridCol w:w="4678"/>
      </w:tblGrid>
      <w:tr w:rsidR="000608E5" w:rsidTr="000608E5">
        <w:tc>
          <w:tcPr>
            <w:tcW w:w="4819" w:type="dxa"/>
            <w:hideMark/>
          </w:tcPr>
          <w:p w:rsidR="000608E5" w:rsidRDefault="000608E5" w:rsidP="000608E5">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0608E5" w:rsidRPr="001270E2" w:rsidRDefault="000608E5" w:rsidP="000608E5">
            <w:pPr>
              <w:jc w:val="both"/>
              <w:rPr>
                <w:b/>
                <w:lang w:val="en-US"/>
              </w:rPr>
            </w:pPr>
            <w:r>
              <w:rPr>
                <w:b/>
              </w:rPr>
              <w:t>ПОСТАВЩИК:</w:t>
            </w:r>
          </w:p>
        </w:tc>
      </w:tr>
      <w:tr w:rsidR="000608E5" w:rsidTr="000608E5">
        <w:trPr>
          <w:trHeight w:val="522"/>
        </w:trPr>
        <w:tc>
          <w:tcPr>
            <w:tcW w:w="4819" w:type="dxa"/>
            <w:vAlign w:val="center"/>
          </w:tcPr>
          <w:p w:rsidR="000608E5" w:rsidRDefault="000608E5" w:rsidP="000608E5">
            <w:pPr>
              <w:snapToGrid w:val="0"/>
              <w:ind w:firstLine="36"/>
              <w:jc w:val="both"/>
              <w:rPr>
                <w:b/>
                <w:color w:val="FF0000"/>
              </w:rPr>
            </w:pPr>
            <w:r>
              <w:t>Должность</w:t>
            </w:r>
          </w:p>
        </w:tc>
        <w:tc>
          <w:tcPr>
            <w:tcW w:w="4678" w:type="dxa"/>
            <w:vAlign w:val="center"/>
          </w:tcPr>
          <w:p w:rsidR="000608E5" w:rsidRDefault="000608E5" w:rsidP="000608E5">
            <w:pPr>
              <w:snapToGrid w:val="0"/>
              <w:ind w:firstLine="36"/>
              <w:jc w:val="both"/>
              <w:rPr>
                <w:b/>
                <w:color w:val="FF0000"/>
              </w:rPr>
            </w:pPr>
            <w:r>
              <w:t>Должность</w:t>
            </w:r>
          </w:p>
        </w:tc>
      </w:tr>
      <w:tr w:rsidR="000608E5" w:rsidTr="000608E5">
        <w:trPr>
          <w:trHeight w:val="800"/>
        </w:trPr>
        <w:tc>
          <w:tcPr>
            <w:tcW w:w="4819" w:type="dxa"/>
            <w:vAlign w:val="center"/>
            <w:hideMark/>
          </w:tcPr>
          <w:p w:rsidR="000608E5" w:rsidRDefault="000608E5" w:rsidP="000608E5">
            <w:r w:rsidRPr="00143EE7">
              <w:rPr>
                <w:spacing w:val="-3"/>
              </w:rPr>
              <w:t>__________ /______________/</w:t>
            </w:r>
          </w:p>
        </w:tc>
        <w:tc>
          <w:tcPr>
            <w:tcW w:w="4678" w:type="dxa"/>
            <w:vAlign w:val="center"/>
            <w:hideMark/>
          </w:tcPr>
          <w:p w:rsidR="000608E5" w:rsidRDefault="000608E5" w:rsidP="000608E5">
            <w:r w:rsidRPr="00143EE7">
              <w:rPr>
                <w:spacing w:val="-3"/>
              </w:rPr>
              <w:t>__________ /______________/</w:t>
            </w:r>
          </w:p>
        </w:tc>
      </w:tr>
    </w:tbl>
    <w:p w:rsidR="0060234A" w:rsidRDefault="0060234A" w:rsidP="000608E5">
      <w:pPr>
        <w:suppressAutoHyphens w:val="0"/>
        <w:jc w:val="center"/>
        <w:rPr>
          <w:lang w:eastAsia="ru-RU"/>
        </w:rPr>
        <w:sectPr w:rsidR="0060234A" w:rsidSect="000608E5">
          <w:pgSz w:w="11906" w:h="16838"/>
          <w:pgMar w:top="1134" w:right="1276" w:bottom="425" w:left="567" w:header="720" w:footer="720" w:gutter="0"/>
          <w:cols w:space="720"/>
          <w:docGrid w:linePitch="600" w:charSpace="32768"/>
        </w:sectPr>
      </w:pPr>
    </w:p>
    <w:p w:rsidR="000608E5" w:rsidRPr="00F225FC" w:rsidRDefault="000608E5" w:rsidP="000608E5">
      <w:pPr>
        <w:suppressAutoHyphens w:val="0"/>
        <w:rPr>
          <w:color w:val="0070C0"/>
          <w:lang w:eastAsia="ru-RU"/>
        </w:rPr>
      </w:pPr>
      <w:r w:rsidRPr="00F225FC">
        <w:rPr>
          <w:color w:val="0070C0"/>
          <w:lang w:eastAsia="ru-RU"/>
        </w:rPr>
        <w:lastRenderedPageBreak/>
        <w:t>Начало формы</w:t>
      </w:r>
    </w:p>
    <w:p w:rsidR="00C130EB" w:rsidRPr="00B756AD" w:rsidRDefault="00C130EB" w:rsidP="00C130EB">
      <w:pPr>
        <w:suppressAutoHyphens w:val="0"/>
        <w:jc w:val="right"/>
        <w:rPr>
          <w:lang w:eastAsia="ru-RU"/>
        </w:rPr>
      </w:pPr>
      <w:r>
        <w:rPr>
          <w:lang w:eastAsia="ru-RU"/>
        </w:rPr>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4C5A96"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Члены комиссии предупреждены об ответственности за подписание акта, содержащего данные, не соответствующие действительности _____________________ </w:t>
      </w:r>
      <w:r w:rsidRPr="0032316C">
        <w:rPr>
          <w:rFonts w:ascii="Times New Roman" w:hAnsi="Times New Roman" w:cs="Times New Roman"/>
          <w:sz w:val="24"/>
          <w:szCs w:val="24"/>
          <w:lang w:eastAsia="ar-SA"/>
        </w:rPr>
        <w:lastRenderedPageBreak/>
        <w:t>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70F8349A"/>
    <w:lvl w:ilvl="0">
      <w:start w:val="1"/>
      <w:numFmt w:val="decimal"/>
      <w:lvlText w:val="%1."/>
      <w:lvlJc w:val="left"/>
      <w:pPr>
        <w:ind w:left="360" w:hanging="360"/>
      </w:p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4DEC8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608E5"/>
    <w:rsid w:val="0007139B"/>
    <w:rsid w:val="00181B44"/>
    <w:rsid w:val="00185CCA"/>
    <w:rsid w:val="00272874"/>
    <w:rsid w:val="002B76EC"/>
    <w:rsid w:val="002F5B76"/>
    <w:rsid w:val="0032506C"/>
    <w:rsid w:val="00357E48"/>
    <w:rsid w:val="00365133"/>
    <w:rsid w:val="0044548D"/>
    <w:rsid w:val="00454ACC"/>
    <w:rsid w:val="004C3E4C"/>
    <w:rsid w:val="004C5A96"/>
    <w:rsid w:val="004F4F5D"/>
    <w:rsid w:val="0058149A"/>
    <w:rsid w:val="005A474A"/>
    <w:rsid w:val="005B68B0"/>
    <w:rsid w:val="0060234A"/>
    <w:rsid w:val="00634321"/>
    <w:rsid w:val="00653947"/>
    <w:rsid w:val="00691A1C"/>
    <w:rsid w:val="006A7193"/>
    <w:rsid w:val="006B724F"/>
    <w:rsid w:val="006D2CDE"/>
    <w:rsid w:val="006D61F6"/>
    <w:rsid w:val="006F7B24"/>
    <w:rsid w:val="007A0FFC"/>
    <w:rsid w:val="007B53B8"/>
    <w:rsid w:val="007D2B6B"/>
    <w:rsid w:val="00894D74"/>
    <w:rsid w:val="008A3EDD"/>
    <w:rsid w:val="008D242E"/>
    <w:rsid w:val="008E6C52"/>
    <w:rsid w:val="00912F42"/>
    <w:rsid w:val="00952DA0"/>
    <w:rsid w:val="009765A2"/>
    <w:rsid w:val="00986235"/>
    <w:rsid w:val="009D1006"/>
    <w:rsid w:val="00A22D5C"/>
    <w:rsid w:val="00A31523"/>
    <w:rsid w:val="00AE0114"/>
    <w:rsid w:val="00AE0C71"/>
    <w:rsid w:val="00AF65C8"/>
    <w:rsid w:val="00B03D55"/>
    <w:rsid w:val="00B16A40"/>
    <w:rsid w:val="00B503E6"/>
    <w:rsid w:val="00B76EDA"/>
    <w:rsid w:val="00BC54E0"/>
    <w:rsid w:val="00C130EB"/>
    <w:rsid w:val="00C21589"/>
    <w:rsid w:val="00C34188"/>
    <w:rsid w:val="00C524BC"/>
    <w:rsid w:val="00C619B3"/>
    <w:rsid w:val="00C77B7F"/>
    <w:rsid w:val="00CC623B"/>
    <w:rsid w:val="00D4242D"/>
    <w:rsid w:val="00D5359F"/>
    <w:rsid w:val="00E26756"/>
    <w:rsid w:val="00E62C83"/>
    <w:rsid w:val="00EA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534A"/>
  <w15:docId w15:val="{0CC231E4-B6BF-4E4C-B33D-EE26BC3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uiPriority w:val="34"/>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0010">
      <w:bodyDiv w:val="1"/>
      <w:marLeft w:val="0"/>
      <w:marRight w:val="0"/>
      <w:marTop w:val="0"/>
      <w:marBottom w:val="0"/>
      <w:divBdr>
        <w:top w:val="none" w:sz="0" w:space="0" w:color="auto"/>
        <w:left w:val="none" w:sz="0" w:space="0" w:color="auto"/>
        <w:bottom w:val="none" w:sz="0" w:space="0" w:color="auto"/>
        <w:right w:val="none" w:sz="0" w:space="0" w:color="auto"/>
      </w:divBdr>
    </w:div>
    <w:div w:id="109445932">
      <w:bodyDiv w:val="1"/>
      <w:marLeft w:val="0"/>
      <w:marRight w:val="0"/>
      <w:marTop w:val="0"/>
      <w:marBottom w:val="0"/>
      <w:divBdr>
        <w:top w:val="none" w:sz="0" w:space="0" w:color="auto"/>
        <w:left w:val="none" w:sz="0" w:space="0" w:color="auto"/>
        <w:bottom w:val="none" w:sz="0" w:space="0" w:color="auto"/>
        <w:right w:val="none" w:sz="0" w:space="0" w:color="auto"/>
      </w:divBdr>
    </w:div>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 w:id="17346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11774</Words>
  <Characters>67113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2</cp:revision>
  <cp:lastPrinted>2020-09-15T13:10:00Z</cp:lastPrinted>
  <dcterms:created xsi:type="dcterms:W3CDTF">2020-12-08T09:00:00Z</dcterms:created>
  <dcterms:modified xsi:type="dcterms:W3CDTF">2020-12-08T09:00:00Z</dcterms:modified>
</cp:coreProperties>
</file>